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Default ContentType="image/png" Extension="png"/>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20" w:lineRule="auto"/>
        <w:jc w:val="center"/>
        <w:rPr>
          <w:rFonts w:ascii="华文楷体" w:hAnsi="华文楷体" w:eastAsia="华文楷体" w:cs="华文楷体"/>
          <w:b/>
          <w:sz w:val="44"/>
          <w:szCs w:val="44"/>
        </w:rPr>
      </w:pPr>
      <w:r>
        <w:rPr>
          <w:rFonts w:hint="eastAsia" w:ascii="华文楷体" w:hAnsi="华文楷体" w:eastAsia="华文楷体" w:cs="华文楷体"/>
          <w:b/>
          <w:sz w:val="44"/>
          <w:szCs w:val="44"/>
        </w:rPr>
        <w:t>东胜化学（上海）有限公司校园招聘信息</w:t>
      </w:r>
    </w:p>
    <w:tbl>
      <w:tblPr>
        <w:tblW w:w="1054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left w:w="108" w:type="dxa"/>
          <w:right w:w="108" w:type="dxa"/>
        </w:tblCellMar>
      </w:tblPr>
      <w:tblGrid>
        <w:gridCol w:w="817"/>
        <w:gridCol w:w="709"/>
        <w:gridCol w:w="1843"/>
        <w:gridCol w:w="7179"/>
      </w:tblGrid>
      <w:tr>
        <w:trPr>
          <w:trHeight w:val="222" w:hRule="atLeast"/>
        </w:trPr>
        <w:tc>
          <w:tcPr>
            <w:tcW w:w="10548" w:type="dxa"/>
            <w:gridSpan w:val="4"/>
            <w:tcBorders>
              <w:tl2br w:val="nil"/>
              <w:tr2bl w:val="nil"/>
            </w:tcBorders>
            <w:shd w:val="clear" w:color="auto" w:fill="D9D9D9"/>
            <w:vAlign w:val="center"/>
          </w:tcPr>
          <w:p>
            <w:pPr>
              <w:jc w:val="center"/>
              <w:rPr>
                <w:rFonts w:ascii="黑体" w:hAnsi="黑体" w:eastAsia="黑体"/>
                <w:sz w:val="24"/>
              </w:rPr>
            </w:pPr>
            <w:r>
              <w:rPr>
                <w:rFonts w:hint="eastAsia" w:ascii="华文楷体" w:hAnsi="华文楷体" w:eastAsia="华文楷体" w:cs="华文楷体"/>
                <w:b/>
                <w:bCs/>
                <w:sz w:val="32"/>
                <w:szCs w:val="32"/>
              </w:rPr>
              <w:t>东胜化学（上海）有限公司简介</w:t>
            </w:r>
          </w:p>
        </w:tc>
      </w:tr>
      <w:tr>
        <w:trPr>
          <w:trHeight w:val="7736" w:hRule="atLeast"/>
        </w:trPr>
        <w:tc>
          <w:tcPr>
            <w:tcW w:w="10548" w:type="dxa"/>
            <w:gridSpan w:val="4"/>
            <w:tcBorders>
              <w:bottom w:val="single" w:color="auto" w:sz="4" w:space="0"/>
              <w:tl2br w:val="nil"/>
              <w:tr2bl w:val="nil"/>
            </w:tcBorders>
            <w:vAlign w:val="center"/>
          </w:tcPr>
          <w:p>
            <w:pPr>
              <w:spacing w:line="400" w:lineRule="exact"/>
              <w:ind w:firstLine="560" w:firstLineChars="200"/>
              <w:rPr>
                <w:rFonts w:ascii="华文楷体" w:hAnsi="华文楷体" w:eastAsia="华文楷体" w:cs="华文中宋"/>
                <w:color w:val="333333"/>
                <w:sz w:val="28"/>
                <w:szCs w:val="28"/>
              </w:rPr>
            </w:pPr>
            <w:r>
              <w:rPr>
                <w:rFonts w:hint="eastAsia" w:ascii="华文楷体" w:hAnsi="华文楷体" w:eastAsia="华文楷体" w:cs="华文中宋"/>
                <w:color w:val="333333"/>
                <w:sz w:val="28"/>
                <w:szCs w:val="28"/>
              </w:rPr>
              <w:t>东胜化学（上海）有限公司化学——国内行业领先水平的树脂专业生产商。</w:t>
            </w:r>
          </w:p>
          <w:p>
            <w:pPr>
              <w:spacing w:line="400" w:lineRule="exact"/>
              <w:ind w:firstLine="560" w:firstLineChars="200"/>
              <w:rPr>
                <w:rFonts w:ascii="华文楷体" w:hAnsi="华文楷体" w:eastAsia="华文楷体" w:cs="华文中宋"/>
                <w:color w:val="333333"/>
                <w:sz w:val="28"/>
                <w:szCs w:val="28"/>
              </w:rPr>
            </w:pPr>
            <w:r>
              <w:rPr>
                <w:rFonts w:hint="eastAsia" w:ascii="华文楷体" w:hAnsi="华文楷体" w:eastAsia="华文楷体" w:cs="华文中宋"/>
                <w:color w:val="333333"/>
                <w:sz w:val="28"/>
                <w:szCs w:val="28"/>
              </w:rPr>
              <w:t>东胜化学（上海）有限公司化学位于上海市奉贤区苍工路1728号（上海化学工业园区），公司注册资金伍仟万元人民币，总投资1亿元，现占地约40000平方米。主要产品为</w:t>
            </w:r>
            <w:r>
              <w:fldChar w:fldCharType="begin"/>
            </w:r>
            <w:r>
              <w:instrText xml:space="preserve">HYPERLINK "http://www.dongshengchemical.com/cpjs2.asp?id=805" </w:instrText>
            </w:r>
            <w:r>
              <w:fldChar w:fldCharType="separate"/>
            </w:r>
            <w:r>
              <w:rPr>
                <w:rFonts w:ascii="华文楷体" w:hAnsi="华文楷体" w:eastAsia="华文楷体" w:cs="华文中宋"/>
                <w:color w:val="333333"/>
                <w:sz w:val="28"/>
                <w:szCs w:val="28"/>
              </w:rPr>
              <w:t>聚酯树脂</w:t>
            </w:r>
            <w:r>
              <w:rPr>
                <w:rFonts w:hint="eastAsia" w:ascii="华文楷体" w:hAnsi="华文楷体" w:eastAsia="华文楷体" w:cs="华文中宋"/>
                <w:color w:val="333333"/>
                <w:sz w:val="28"/>
                <w:szCs w:val="28"/>
              </w:rPr>
              <w:t>、</w:t>
            </w:r>
            <w:r>
              <w:fldChar w:fldCharType="end"/>
            </w:r>
            <w:r>
              <w:fldChar w:fldCharType="begin"/>
            </w:r>
            <w:r>
              <w:instrText xml:space="preserve">HYPERLINK "http://www.dongshengchemical.com/cpjs2.asp?id=804" </w:instrText>
            </w:r>
            <w:r>
              <w:fldChar w:fldCharType="separate"/>
            </w:r>
            <w:r>
              <w:rPr>
                <w:rFonts w:ascii="华文楷体" w:hAnsi="华文楷体" w:eastAsia="华文楷体" w:cs="华文中宋"/>
                <w:color w:val="333333"/>
                <w:sz w:val="28"/>
                <w:szCs w:val="28"/>
              </w:rPr>
              <w:t>丙烯酸树脂</w:t>
            </w:r>
            <w:r>
              <w:rPr>
                <w:rFonts w:hint="eastAsia" w:ascii="华文楷体" w:hAnsi="华文楷体" w:eastAsia="华文楷体" w:cs="华文中宋"/>
                <w:color w:val="333333"/>
                <w:sz w:val="28"/>
                <w:szCs w:val="28"/>
              </w:rPr>
              <w:t>、</w:t>
            </w:r>
            <w:r>
              <w:fldChar w:fldCharType="end"/>
            </w:r>
            <w:r>
              <w:rPr>
                <w:rFonts w:hint="eastAsia" w:ascii="华文楷体" w:hAnsi="华文楷体" w:eastAsia="华文楷体" w:cs="华文中宋"/>
                <w:color w:val="333333"/>
                <w:sz w:val="28"/>
                <w:szCs w:val="28"/>
              </w:rPr>
              <w:t>醇酸树酯、合成脂肪酸树酯、人造革用聚氨酯树脂、鞋底用聚氨酯树脂、聚酯多元醇等。</w:t>
            </w:r>
          </w:p>
          <w:p>
            <w:pPr>
              <w:spacing w:line="400" w:lineRule="exact"/>
              <w:ind w:firstLine="560" w:firstLineChars="200"/>
              <w:rPr>
                <w:rFonts w:ascii="华文楷体" w:hAnsi="华文楷体" w:eastAsia="华文楷体" w:cs="华文中宋"/>
                <w:color w:val="333333"/>
                <w:sz w:val="28"/>
                <w:szCs w:val="28"/>
              </w:rPr>
            </w:pPr>
            <w:r>
              <w:rPr>
                <w:rFonts w:hint="eastAsia" w:ascii="华文楷体" w:hAnsi="华文楷体" w:eastAsia="华文楷体" w:cs="华文中宋"/>
                <w:color w:val="333333"/>
                <w:sz w:val="28"/>
                <w:szCs w:val="28"/>
              </w:rPr>
              <w:t>东胜化学（上海）有限公司所属集团公司分别在太仓、昆山、温州、丽水、上海等地设有5个生产基地，并在国内主要城市和地区设立了贸易公司及办事处。</w:t>
            </w:r>
          </w:p>
          <w:p>
            <w:pPr>
              <w:spacing w:line="400" w:lineRule="exact"/>
              <w:ind w:firstLine="560" w:firstLineChars="200"/>
              <w:rPr>
                <w:rFonts w:ascii="华文楷体" w:hAnsi="华文楷体" w:eastAsia="华文楷体" w:cs="华文中宋"/>
                <w:color w:val="333333"/>
                <w:sz w:val="28"/>
                <w:szCs w:val="28"/>
              </w:rPr>
            </w:pPr>
            <w:r>
              <w:rPr>
                <w:rFonts w:hint="eastAsia" w:ascii="华文楷体" w:hAnsi="华文楷体" w:eastAsia="华文楷体" w:cs="华文中宋"/>
                <w:color w:val="333333"/>
                <w:sz w:val="28"/>
                <w:szCs w:val="28"/>
              </w:rPr>
              <w:t>东胜化学（上海）有限公司化学——长期关注客户需求并提供先进的创新科技研发及技术支持服务，长期坚持以技术领先的发展战略思想，在苏州设立了国内树脂行业的最佳团队（技术研发工程师全部为国家985工程重点大学及海归博士研究生和硕士研究生及多名外籍专家组成），公司以技术为核心，投资近千万元在上海、苏州建立了两个省级树脂研发中心，成为东胜化学（上海）有限公司化学在树脂领域的创新发展引擎。公司以帮主客户成功为目标，以不断创新的技术、长期稳定卓越的品质，为各方创造价值、谋求长期共同发展。</w:t>
            </w:r>
          </w:p>
          <w:p>
            <w:pPr>
              <w:spacing w:line="400" w:lineRule="exact"/>
              <w:ind w:firstLine="560" w:firstLineChars="200"/>
              <w:rPr>
                <w:rFonts w:ascii="华文楷体" w:hAnsi="华文楷体" w:eastAsia="华文楷体" w:cs="华文中宋"/>
                <w:color w:val="333333"/>
                <w:sz w:val="24"/>
                <w:szCs w:val="24"/>
              </w:rPr>
            </w:pPr>
            <w:r>
              <w:rPr>
                <w:rFonts w:hint="eastAsia" w:ascii="华文楷体" w:hAnsi="华文楷体" w:eastAsia="华文楷体" w:cs="华文中宋"/>
                <w:color w:val="333333"/>
                <w:sz w:val="28"/>
                <w:szCs w:val="28"/>
              </w:rPr>
              <w:t>我们坚信企业成功的关键在于我们的专业团队及团队中的每一位员工的辛勤奉献，团队成员的专业技能，务实作风，创新意识，团结奋进的精神是团队成功的基础。我们时刻关注开发每位员工的潜质和才能，共同致力于为员工、客户、企业、股东、社会创造价值。</w:t>
            </w:r>
          </w:p>
        </w:tc>
      </w:tr>
      <w:tr>
        <w:trPr>
          <w:trHeight w:val="559" w:hRule="atLeast"/>
        </w:trPr>
        <w:tc>
          <w:tcPr>
            <w:tcW w:w="817" w:type="dxa"/>
            <w:tcBorders>
              <w:top w:val="single" w:color="auto" w:sz="4" w:space="0"/>
              <w:bottom w:val="single" w:color="auto" w:sz="4" w:space="0"/>
              <w:tl2br w:val="nil"/>
              <w:tr2bl w:val="nil"/>
            </w:tcBorders>
            <w:shd w:val="clear" w:color="auto" w:fill="F2F2F2"/>
            <w:vAlign w:val="center"/>
          </w:tcPr>
          <w:p>
            <w:pPr>
              <w:jc w:val="center"/>
              <w:rPr>
                <w:rFonts w:ascii="宋体" w:hAnsi="宋体"/>
                <w:b/>
                <w:sz w:val="24"/>
                <w:szCs w:val="24"/>
              </w:rPr>
            </w:pPr>
            <w:r>
              <w:rPr>
                <w:rFonts w:hint="eastAsia" w:ascii="宋体" w:hAnsi="宋体"/>
                <w:b/>
                <w:sz w:val="24"/>
                <w:szCs w:val="24"/>
              </w:rPr>
              <w:t>序号</w:t>
            </w:r>
          </w:p>
        </w:tc>
        <w:tc>
          <w:tcPr>
            <w:tcW w:w="2552" w:type="dxa"/>
            <w:gridSpan w:val="2"/>
            <w:tcBorders>
              <w:top w:val="single" w:color="auto" w:sz="4" w:space="0"/>
              <w:bottom w:val="single" w:color="auto" w:sz="4" w:space="0"/>
              <w:tl2br w:val="nil"/>
              <w:tr2bl w:val="nil"/>
            </w:tcBorders>
            <w:shd w:val="clear" w:color="auto" w:fill="F2F2F2"/>
            <w:vAlign w:val="center"/>
          </w:tcPr>
          <w:p>
            <w:pPr>
              <w:jc w:val="center"/>
              <w:rPr>
                <w:rFonts w:ascii="宋体" w:hAnsi="宋体"/>
                <w:b/>
                <w:sz w:val="24"/>
                <w:szCs w:val="24"/>
              </w:rPr>
            </w:pPr>
            <w:r>
              <w:rPr>
                <w:rFonts w:hint="eastAsia" w:ascii="宋体" w:hAnsi="宋体"/>
                <w:b/>
                <w:sz w:val="24"/>
                <w:szCs w:val="24"/>
              </w:rPr>
              <w:t>招聘岗位</w:t>
            </w:r>
          </w:p>
        </w:tc>
        <w:tc>
          <w:tcPr>
            <w:tcW w:w="7179" w:type="dxa"/>
            <w:tcBorders>
              <w:top w:val="single" w:color="auto" w:sz="4" w:space="0"/>
              <w:bottom w:val="single" w:color="auto" w:sz="4" w:space="0"/>
              <w:tl2br w:val="nil"/>
              <w:tr2bl w:val="nil"/>
            </w:tcBorders>
            <w:shd w:val="clear" w:color="auto" w:fill="F2F2F2"/>
            <w:vAlign w:val="center"/>
          </w:tcPr>
          <w:p>
            <w:pPr>
              <w:jc w:val="center"/>
              <w:rPr>
                <w:rFonts w:ascii="宋体" w:hAnsi="宋体"/>
                <w:b/>
                <w:sz w:val="24"/>
                <w:szCs w:val="24"/>
              </w:rPr>
            </w:pPr>
            <w:r>
              <w:rPr>
                <w:rFonts w:hint="eastAsia" w:ascii="宋体" w:hAnsi="宋体"/>
                <w:b/>
                <w:sz w:val="24"/>
                <w:szCs w:val="24"/>
              </w:rPr>
              <w:t>相关说明</w:t>
            </w:r>
          </w:p>
        </w:tc>
      </w:tr>
      <w:tr>
        <w:trPr>
          <w:trHeight w:val="1250" w:hRule="atLeast"/>
        </w:trPr>
        <w:tc>
          <w:tcPr>
            <w:tcW w:w="817" w:type="dxa"/>
            <w:tcBorders>
              <w:top w:val="single" w:color="auto" w:sz="4" w:space="0"/>
              <w:tl2br w:val="nil"/>
              <w:tr2bl w:val="nil"/>
            </w:tcBorders>
            <w:vAlign w:val="center"/>
          </w:tcPr>
          <w:p>
            <w:pPr>
              <w:jc w:val="center"/>
              <w:rPr>
                <w:rFonts w:ascii="宋体" w:hAnsi="宋体"/>
                <w:b/>
                <w:sz w:val="24"/>
                <w:szCs w:val="24"/>
              </w:rPr>
            </w:pPr>
            <w:r>
              <w:rPr>
                <w:rFonts w:hint="eastAsia" w:ascii="宋体" w:hAnsi="宋体"/>
                <w:b/>
                <w:sz w:val="24"/>
                <w:szCs w:val="24"/>
              </w:rPr>
              <w:t>1</w:t>
            </w:r>
          </w:p>
        </w:tc>
        <w:tc>
          <w:tcPr>
            <w:tcW w:w="2552" w:type="dxa"/>
            <w:gridSpan w:val="2"/>
            <w:tcBorders>
              <w:top w:val="single" w:color="auto" w:sz="4" w:space="0"/>
              <w:tl2br w:val="nil"/>
              <w:tr2bl w:val="nil"/>
            </w:tcBorders>
            <w:vAlign w:val="center"/>
          </w:tcPr>
          <w:p>
            <w:pPr>
              <w:jc w:val="center"/>
              <w:rPr>
                <w:rFonts w:ascii="宋体" w:hAnsi="宋体"/>
                <w:b/>
                <w:sz w:val="24"/>
                <w:szCs w:val="24"/>
              </w:rPr>
            </w:pPr>
            <w:r>
              <w:rPr>
                <w:rFonts w:hint="eastAsia" w:ascii="宋体" w:hAnsi="宋体"/>
                <w:b/>
                <w:sz w:val="24"/>
                <w:szCs w:val="24"/>
              </w:rPr>
              <w:t>生产管理储备干部</w:t>
            </w:r>
          </w:p>
        </w:tc>
        <w:tc>
          <w:tcPr>
            <w:tcW w:w="7179" w:type="dxa"/>
            <w:tcBorders>
              <w:top w:val="single" w:color="auto" w:sz="4" w:space="0"/>
              <w:tl2br w:val="nil"/>
              <w:tr2bl w:val="nil"/>
            </w:tcBorders>
            <w:vAlign w:val="center"/>
          </w:tcPr>
          <w:p>
            <w:pPr>
              <w:rPr>
                <w:rFonts w:hint="eastAsia" w:ascii="仿宋" w:hAnsi="仿宋" w:eastAsia="仿宋"/>
                <w:b/>
                <w:sz w:val="24"/>
                <w:szCs w:val="24"/>
              </w:rPr>
            </w:pPr>
          </w:p>
          <w:p>
            <w:pPr>
              <w:rPr>
                <w:rFonts w:hint="eastAsia" w:ascii="仿宋" w:hAnsi="仿宋" w:eastAsia="仿宋"/>
                <w:b/>
                <w:sz w:val="24"/>
                <w:szCs w:val="24"/>
              </w:rPr>
            </w:pPr>
          </w:p>
          <w:p>
            <w:pPr>
              <w:rPr>
                <w:rFonts w:ascii="仿宋" w:hAnsi="仿宋" w:eastAsia="仿宋"/>
                <w:b/>
                <w:sz w:val="24"/>
                <w:szCs w:val="24"/>
              </w:rPr>
            </w:pPr>
            <w:r>
              <w:rPr>
                <w:rFonts w:hint="eastAsia" w:ascii="仿宋" w:hAnsi="仿宋" w:eastAsia="仿宋"/>
                <w:b/>
                <w:sz w:val="24"/>
                <w:szCs w:val="24"/>
              </w:rPr>
              <w:t>工作职责：</w:t>
            </w:r>
            <w:r>
              <w:rPr>
                <w:rFonts w:hint="eastAsia" w:ascii="仿宋" w:hAnsi="仿宋" w:eastAsia="仿宋"/>
                <w:sz w:val="24"/>
                <w:szCs w:val="24"/>
              </w:rPr>
              <w:t>从事生产工艺操作及生产流程管理与控制；</w:t>
            </w:r>
          </w:p>
          <w:p>
            <w:pPr>
              <w:rPr>
                <w:rFonts w:ascii="仿宋" w:hAnsi="仿宋" w:eastAsia="仿宋"/>
                <w:b/>
                <w:sz w:val="24"/>
                <w:szCs w:val="24"/>
              </w:rPr>
            </w:pPr>
            <w:r>
              <w:rPr>
                <w:rFonts w:hint="eastAsia" w:ascii="仿宋" w:hAnsi="仿宋" w:eastAsia="仿宋"/>
                <w:b/>
                <w:sz w:val="24"/>
                <w:szCs w:val="24"/>
              </w:rPr>
              <w:t>招聘要求：</w:t>
            </w:r>
            <w:r>
              <w:rPr>
                <w:rFonts w:hint="eastAsia" w:ascii="仿宋" w:hAnsi="仿宋" w:eastAsia="仿宋"/>
                <w:sz w:val="24"/>
                <w:szCs w:val="24"/>
              </w:rPr>
              <w:t>化工类、理工类专业，应往届学生均可；</w:t>
            </w:r>
          </w:p>
          <w:p>
            <w:pPr>
              <w:rPr>
                <w:rFonts w:hint="eastAsia" w:ascii="仿宋" w:hAnsi="仿宋" w:eastAsia="仿宋"/>
                <w:sz w:val="24"/>
                <w:szCs w:val="24"/>
              </w:rPr>
            </w:pPr>
            <w:r>
              <w:rPr>
                <w:rFonts w:hint="eastAsia" w:ascii="仿宋" w:hAnsi="仿宋" w:eastAsia="仿宋"/>
                <w:b/>
                <w:sz w:val="24"/>
                <w:szCs w:val="24"/>
              </w:rPr>
              <w:t>职业发展方向：</w:t>
            </w:r>
            <w:r>
              <w:rPr>
                <w:rFonts w:hint="eastAsia" w:ascii="仿宋" w:hAnsi="仿宋" w:eastAsia="仿宋"/>
                <w:sz w:val="24"/>
                <w:szCs w:val="24"/>
              </w:rPr>
              <w:t>生产技术员、班组长、生产主操、生产科长等；</w:t>
            </w:r>
          </w:p>
          <w:p>
            <w:pPr>
              <w:rPr>
                <w:rFonts w:hint="eastAsia" w:ascii="仿宋" w:hAnsi="仿宋" w:eastAsia="仿宋"/>
                <w:sz w:val="24"/>
                <w:szCs w:val="24"/>
              </w:rPr>
            </w:pPr>
          </w:p>
          <w:p>
            <w:pPr>
              <w:rPr>
                <w:rFonts w:hint="eastAsia" w:ascii="仿宋" w:hAnsi="仿宋" w:eastAsia="仿宋"/>
                <w:sz w:val="24"/>
                <w:szCs w:val="24"/>
              </w:rPr>
            </w:pPr>
          </w:p>
        </w:tc>
      </w:tr>
      <w:tr>
        <w:trPr>
          <w:trHeight w:val="2118" w:hRule="atLeast"/>
        </w:trPr>
        <w:tc>
          <w:tcPr>
            <w:tcW w:w="817" w:type="dxa"/>
            <w:tcBorders>
              <w:tl2br w:val="nil"/>
              <w:tr2bl w:val="nil"/>
            </w:tcBorders>
            <w:vAlign w:val="center"/>
          </w:tcPr>
          <w:p>
            <w:pPr>
              <w:jc w:val="center"/>
              <w:rPr>
                <w:rFonts w:ascii="宋体" w:hAnsi="宋体"/>
                <w:b/>
                <w:sz w:val="24"/>
                <w:szCs w:val="24"/>
              </w:rPr>
            </w:pPr>
            <w:r>
              <w:rPr>
                <w:rFonts w:hint="eastAsia" w:ascii="宋体" w:hAnsi="宋体"/>
                <w:b/>
                <w:sz w:val="24"/>
                <w:szCs w:val="24"/>
              </w:rPr>
              <w:t>2</w:t>
            </w:r>
          </w:p>
        </w:tc>
        <w:tc>
          <w:tcPr>
            <w:tcW w:w="2552" w:type="dxa"/>
            <w:gridSpan w:val="2"/>
            <w:tcBorders>
              <w:tl2br w:val="nil"/>
              <w:tr2bl w:val="nil"/>
            </w:tcBorders>
            <w:vAlign w:val="center"/>
          </w:tcPr>
          <w:p>
            <w:pPr>
              <w:jc w:val="center"/>
              <w:rPr>
                <w:rFonts w:ascii="宋体" w:hAnsi="宋体"/>
                <w:b/>
                <w:sz w:val="24"/>
                <w:szCs w:val="24"/>
              </w:rPr>
            </w:pPr>
            <w:r>
              <w:rPr>
                <w:rFonts w:hint="eastAsia" w:ascii="宋体" w:hAnsi="宋体"/>
                <w:b/>
                <w:sz w:val="24"/>
                <w:szCs w:val="24"/>
              </w:rPr>
              <w:t>见习技术员</w:t>
            </w:r>
          </w:p>
        </w:tc>
        <w:tc>
          <w:tcPr>
            <w:tcW w:w="7179" w:type="dxa"/>
            <w:tcBorders>
              <w:tl2br w:val="nil"/>
              <w:tr2bl w:val="nil"/>
            </w:tcBorders>
            <w:vAlign w:val="center"/>
          </w:tcPr>
          <w:p>
            <w:pPr>
              <w:rPr>
                <w:rFonts w:hint="eastAsia" w:ascii="仿宋" w:hAnsi="仿宋" w:eastAsia="仿宋"/>
                <w:b/>
                <w:sz w:val="24"/>
                <w:szCs w:val="24"/>
              </w:rPr>
            </w:pPr>
          </w:p>
          <w:p>
            <w:pPr>
              <w:rPr>
                <w:rFonts w:ascii="仿宋" w:hAnsi="仿宋" w:eastAsia="仿宋"/>
                <w:sz w:val="24"/>
                <w:szCs w:val="24"/>
              </w:rPr>
            </w:pPr>
            <w:r>
              <w:rPr>
                <w:rFonts w:hint="eastAsia" w:ascii="仿宋" w:hAnsi="仿宋" w:eastAsia="仿宋"/>
                <w:b/>
                <w:sz w:val="24"/>
                <w:szCs w:val="24"/>
              </w:rPr>
              <w:t>工作职责：</w:t>
            </w:r>
            <w:r>
              <w:rPr>
                <w:rFonts w:hint="eastAsia" w:ascii="仿宋" w:hAnsi="仿宋" w:eastAsia="仿宋"/>
                <w:sz w:val="24"/>
                <w:szCs w:val="24"/>
              </w:rPr>
              <w:t>样品分析检验、原料或中间体合成；</w:t>
            </w:r>
          </w:p>
          <w:p>
            <w:pPr>
              <w:rPr>
                <w:rFonts w:ascii="仿宋" w:hAnsi="仿宋" w:eastAsia="仿宋"/>
                <w:b/>
                <w:sz w:val="24"/>
                <w:szCs w:val="24"/>
              </w:rPr>
            </w:pPr>
            <w:r>
              <w:rPr>
                <w:rFonts w:hint="eastAsia" w:ascii="仿宋" w:hAnsi="仿宋" w:eastAsia="仿宋"/>
                <w:b/>
                <w:sz w:val="24"/>
                <w:szCs w:val="24"/>
              </w:rPr>
              <w:t>招聘要求：</w:t>
            </w:r>
          </w:p>
          <w:p>
            <w:pPr>
              <w:ind w:firstLine="588" w:firstLineChars="245"/>
              <w:rPr>
                <w:rFonts w:ascii="仿宋" w:hAnsi="仿宋" w:eastAsia="仿宋"/>
                <w:sz w:val="24"/>
                <w:szCs w:val="24"/>
              </w:rPr>
            </w:pPr>
            <w:r>
              <w:rPr>
                <w:rFonts w:hint="eastAsia" w:ascii="仿宋" w:hAnsi="仿宋" w:eastAsia="仿宋"/>
                <w:sz w:val="24"/>
                <w:szCs w:val="24"/>
              </w:rPr>
              <w:t>1、化工类专业，具有较强的实验室操作能力；</w:t>
            </w:r>
          </w:p>
          <w:p>
            <w:pPr>
              <w:ind w:firstLine="588" w:firstLineChars="245"/>
              <w:rPr>
                <w:rFonts w:ascii="仿宋" w:hAnsi="仿宋" w:eastAsia="仿宋"/>
                <w:sz w:val="24"/>
                <w:szCs w:val="24"/>
              </w:rPr>
            </w:pPr>
            <w:r>
              <w:rPr>
                <w:rFonts w:hint="eastAsia" w:ascii="仿宋" w:hAnsi="仿宋" w:eastAsia="仿宋"/>
                <w:sz w:val="24"/>
                <w:szCs w:val="24"/>
              </w:rPr>
              <w:t>2、高分子材料、应用化学、化学工程与工艺、生物工程等相关化工类专业。</w:t>
            </w:r>
          </w:p>
          <w:p>
            <w:pPr>
              <w:rPr>
                <w:rFonts w:hint="eastAsia" w:ascii="仿宋" w:hAnsi="仿宋" w:eastAsia="仿宋"/>
                <w:sz w:val="24"/>
                <w:szCs w:val="24"/>
              </w:rPr>
            </w:pPr>
            <w:r>
              <w:rPr>
                <w:rFonts w:hint="eastAsia" w:ascii="仿宋" w:hAnsi="仿宋" w:eastAsia="仿宋"/>
                <w:b/>
                <w:sz w:val="24"/>
                <w:szCs w:val="24"/>
              </w:rPr>
              <w:t>职业发展方向：</w:t>
            </w:r>
            <w:r>
              <w:rPr>
                <w:rFonts w:hint="eastAsia" w:ascii="仿宋" w:hAnsi="仿宋" w:eastAsia="仿宋"/>
                <w:sz w:val="24"/>
                <w:szCs w:val="24"/>
              </w:rPr>
              <w:t>质检员、生产技术员；</w:t>
            </w:r>
          </w:p>
          <w:p>
            <w:pPr>
              <w:rPr>
                <w:rFonts w:hint="eastAsia" w:ascii="仿宋" w:hAnsi="仿宋" w:eastAsia="仿宋"/>
                <w:sz w:val="24"/>
                <w:szCs w:val="24"/>
              </w:rPr>
            </w:pPr>
          </w:p>
          <w:p>
            <w:pPr>
              <w:rPr>
                <w:rFonts w:hint="eastAsia" w:ascii="仿宋" w:hAnsi="仿宋" w:eastAsia="仿宋"/>
                <w:sz w:val="24"/>
                <w:szCs w:val="24"/>
              </w:rPr>
            </w:pPr>
          </w:p>
        </w:tc>
      </w:tr>
      <w:tr>
        <w:trPr>
          <w:trHeight w:val="561" w:hRule="atLeast"/>
        </w:trPr>
        <w:tc>
          <w:tcPr>
            <w:tcW w:w="10548" w:type="dxa"/>
            <w:gridSpan w:val="4"/>
            <w:tcBorders>
              <w:tl2br w:val="nil"/>
              <w:tr2bl w:val="nil"/>
            </w:tcBorders>
            <w:shd w:val="clear" w:color="auto" w:fill="F2F2F2"/>
            <w:vAlign w:val="center"/>
          </w:tcPr>
          <w:p>
            <w:pPr>
              <w:jc w:val="center"/>
              <w:rPr>
                <w:b/>
                <w:sz w:val="24"/>
                <w:szCs w:val="24"/>
                <w:highlight w:val="red"/>
              </w:rPr>
            </w:pPr>
            <w:r>
              <w:rPr>
                <w:rFonts w:hint="eastAsia"/>
                <w:b/>
                <w:sz w:val="24"/>
                <w:szCs w:val="24"/>
              </w:rPr>
              <w:t>工作待遇</w:t>
            </w:r>
          </w:p>
        </w:tc>
      </w:tr>
      <w:tr>
        <w:trPr>
          <w:trHeight w:val="3747" w:hRule="atLeast"/>
        </w:trPr>
        <w:tc>
          <w:tcPr>
            <w:tcW w:w="1526" w:type="dxa"/>
            <w:gridSpan w:val="2"/>
            <w:tcBorders>
              <w:tl2br w:val="nil"/>
              <w:tr2bl w:val="nil"/>
            </w:tcBorders>
            <w:vAlign w:val="center"/>
          </w:tcPr>
          <w:p>
            <w:pPr>
              <w:jc w:val="center"/>
              <w:rPr>
                <w:rFonts w:ascii="宋体" w:hAnsi="宋体"/>
                <w:b/>
                <w:sz w:val="24"/>
                <w:szCs w:val="24"/>
                <w:highlight w:val="red"/>
              </w:rPr>
            </w:pPr>
            <w:r>
              <w:rPr>
                <w:rFonts w:hint="eastAsia" w:ascii="宋体" w:hAnsi="宋体"/>
                <w:b/>
                <w:sz w:val="24"/>
                <w:szCs w:val="24"/>
              </w:rPr>
              <w:t>薪资福利</w:t>
            </w:r>
          </w:p>
        </w:tc>
        <w:tc>
          <w:tcPr>
            <w:tcW w:w="9022" w:type="dxa"/>
            <w:gridSpan w:val="2"/>
            <w:tcBorders>
              <w:tl2br w:val="nil"/>
              <w:tr2bl w:val="nil"/>
            </w:tcBorders>
            <w:textDirection w:val="lrTb"/>
            <w:vAlign w:val="center"/>
          </w:tcPr>
          <w:p>
            <w:pPr>
              <w:spacing w:line="360" w:lineRule="auto"/>
              <w:rPr>
                <w:rFonts w:ascii="宋体" w:hAnsi="宋体"/>
                <w:sz w:val="24"/>
                <w:szCs w:val="24"/>
              </w:rPr>
            </w:pPr>
            <w:r>
              <w:rPr>
                <w:rFonts w:hint="eastAsia" w:ascii="宋体" w:hAnsi="宋体"/>
                <w:sz w:val="24"/>
                <w:szCs w:val="24"/>
              </w:rPr>
              <w:t>1、作息时间:三班两倒，12小时工作制（其中4小时为加班时间）；</w:t>
            </w:r>
            <w:r>
              <w:rPr>
                <w:rFonts w:ascii="宋体" w:hAnsi="宋体"/>
                <w:sz w:val="24"/>
                <w:szCs w:val="24"/>
              </w:rPr>
              <w:t xml:space="preserve"> </w:t>
            </w:r>
          </w:p>
          <w:p>
            <w:pPr>
              <w:spacing w:line="360" w:lineRule="auto"/>
              <w:rPr>
                <w:rFonts w:ascii="宋体" w:hAnsi="宋体"/>
                <w:sz w:val="24"/>
                <w:szCs w:val="24"/>
              </w:rPr>
            </w:pPr>
            <w:r>
              <w:rPr>
                <w:rFonts w:hint="eastAsia" w:ascii="宋体" w:hAnsi="宋体"/>
                <w:sz w:val="24"/>
                <w:szCs w:val="24"/>
              </w:rPr>
              <w:t>2、基本工资：2700元/月；</w:t>
            </w:r>
          </w:p>
          <w:p>
            <w:pPr>
              <w:spacing w:line="360" w:lineRule="auto"/>
              <w:rPr>
                <w:rFonts w:ascii="宋体" w:hAnsi="宋体"/>
                <w:sz w:val="24"/>
                <w:szCs w:val="24"/>
              </w:rPr>
            </w:pPr>
            <w:r>
              <w:rPr>
                <w:rFonts w:hint="eastAsia" w:ascii="宋体" w:hAnsi="宋体"/>
                <w:sz w:val="24"/>
                <w:szCs w:val="24"/>
              </w:rPr>
              <w:t>2、加班工资：执行国家规定1.5倍、两倍，三倍标准核算；</w:t>
            </w:r>
          </w:p>
          <w:p>
            <w:pPr>
              <w:spacing w:line="360" w:lineRule="auto"/>
              <w:rPr>
                <w:rFonts w:ascii="宋体" w:hAnsi="宋体"/>
                <w:sz w:val="24"/>
                <w:szCs w:val="24"/>
              </w:rPr>
            </w:pPr>
            <w:r>
              <w:rPr>
                <w:rFonts w:hint="eastAsia" w:ascii="宋体" w:hAnsi="宋体"/>
                <w:sz w:val="24"/>
                <w:szCs w:val="24"/>
              </w:rPr>
              <w:t>3、综合工资额度：每月3500元左右；</w:t>
            </w:r>
          </w:p>
          <w:p>
            <w:pPr>
              <w:spacing w:line="360" w:lineRule="auto"/>
              <w:rPr>
                <w:rFonts w:ascii="宋体" w:hAnsi="宋体"/>
                <w:sz w:val="24"/>
                <w:szCs w:val="24"/>
              </w:rPr>
            </w:pPr>
            <w:r>
              <w:rPr>
                <w:rFonts w:hint="eastAsia" w:ascii="宋体" w:hAnsi="宋体"/>
                <w:sz w:val="24"/>
                <w:szCs w:val="24"/>
              </w:rPr>
              <w:t>4、为员工缴纳社会保险、商业保险和住房公积金；</w:t>
            </w:r>
          </w:p>
          <w:p>
            <w:pPr>
              <w:spacing w:line="360" w:lineRule="auto"/>
              <w:rPr>
                <w:rFonts w:ascii="宋体" w:hAnsi="宋体"/>
                <w:sz w:val="24"/>
                <w:szCs w:val="24"/>
              </w:rPr>
            </w:pPr>
            <w:r>
              <w:rPr>
                <w:rFonts w:hint="eastAsia" w:ascii="宋体" w:hAnsi="宋体"/>
                <w:sz w:val="24"/>
                <w:szCs w:val="24"/>
              </w:rPr>
              <w:t>5、免费提供工作餐和宿舍（内部配有独立床位、衣柜、洗衣机、空调、无线网络）；</w:t>
            </w:r>
          </w:p>
        </w:tc>
      </w:tr>
      <w:tr>
        <w:trPr>
          <w:trHeight w:val="1533" w:hRule="atLeast"/>
        </w:trPr>
        <w:tc>
          <w:tcPr>
            <w:tcW w:w="1526" w:type="dxa"/>
            <w:gridSpan w:val="2"/>
            <w:tcBorders>
              <w:tl2br w:val="nil"/>
              <w:tr2bl w:val="nil"/>
            </w:tcBorders>
            <w:vAlign w:val="center"/>
          </w:tcPr>
          <w:p>
            <w:pPr>
              <w:spacing w:line="360" w:lineRule="auto"/>
              <w:jc w:val="center"/>
              <w:rPr>
                <w:rFonts w:ascii="宋体" w:hAnsi="宋体"/>
                <w:sz w:val="24"/>
                <w:szCs w:val="24"/>
              </w:rPr>
            </w:pPr>
            <w:r>
              <w:rPr>
                <w:rFonts w:hint="eastAsia" w:ascii="宋体" w:hAnsi="宋体"/>
                <w:sz w:val="24"/>
                <w:szCs w:val="24"/>
              </w:rPr>
              <w:t>培训发展</w:t>
            </w:r>
          </w:p>
        </w:tc>
        <w:tc>
          <w:tcPr>
            <w:tcW w:w="9022" w:type="dxa"/>
            <w:gridSpan w:val="2"/>
            <w:tcBorders>
              <w:tl2br w:val="nil"/>
              <w:tr2bl w:val="nil"/>
            </w:tcBorders>
            <w:vAlign w:val="center"/>
          </w:tcPr>
          <w:p>
            <w:pPr>
              <w:spacing w:line="360" w:lineRule="auto"/>
              <w:rPr>
                <w:rFonts w:ascii="宋体" w:hAnsi="宋体"/>
                <w:sz w:val="24"/>
                <w:szCs w:val="24"/>
              </w:rPr>
            </w:pPr>
            <w:r>
              <w:rPr>
                <w:rFonts w:hint="eastAsia" w:ascii="宋体" w:hAnsi="宋体"/>
                <w:sz w:val="24"/>
                <w:szCs w:val="24"/>
              </w:rPr>
              <w:t>1、公司关注员工职业发展，设计全面的晋升发展通道；</w:t>
            </w:r>
          </w:p>
          <w:p>
            <w:pPr>
              <w:spacing w:line="360" w:lineRule="auto"/>
              <w:rPr>
                <w:rFonts w:ascii="宋体" w:hAnsi="宋体"/>
                <w:sz w:val="24"/>
                <w:szCs w:val="24"/>
              </w:rPr>
            </w:pPr>
            <w:r>
              <w:rPr>
                <w:rFonts w:hint="eastAsia" w:ascii="宋体" w:hAnsi="宋体"/>
                <w:sz w:val="24"/>
                <w:szCs w:val="24"/>
              </w:rPr>
              <w:t>2、为员工创造技能、学历等培训机会，并提供支持；</w:t>
            </w:r>
          </w:p>
        </w:tc>
      </w:tr>
      <w:tr>
        <w:trPr>
          <w:trHeight w:val="1697" w:hRule="atLeast"/>
        </w:trPr>
        <w:tc>
          <w:tcPr>
            <w:tcW w:w="1526" w:type="dxa"/>
            <w:gridSpan w:val="2"/>
            <w:tcBorders>
              <w:tl2br w:val="nil"/>
              <w:tr2bl w:val="nil"/>
            </w:tcBorders>
            <w:vAlign w:val="center"/>
          </w:tcPr>
          <w:p>
            <w:pPr>
              <w:spacing w:line="360" w:lineRule="auto"/>
              <w:jc w:val="center"/>
              <w:rPr>
                <w:rFonts w:ascii="宋体" w:hAnsi="宋体"/>
                <w:sz w:val="24"/>
                <w:szCs w:val="24"/>
              </w:rPr>
            </w:pPr>
            <w:r>
              <w:rPr>
                <w:rFonts w:hint="eastAsia" w:ascii="宋体" w:hAnsi="宋体"/>
                <w:sz w:val="24"/>
                <w:szCs w:val="24"/>
              </w:rPr>
              <w:t>劳动保护</w:t>
            </w:r>
          </w:p>
        </w:tc>
        <w:tc>
          <w:tcPr>
            <w:tcW w:w="9022" w:type="dxa"/>
            <w:gridSpan w:val="2"/>
            <w:tcBorders>
              <w:tl2br w:val="nil"/>
              <w:tr2bl w:val="nil"/>
            </w:tcBorders>
            <w:vAlign w:val="center"/>
          </w:tcPr>
          <w:p>
            <w:pPr>
              <w:spacing w:line="360" w:lineRule="auto"/>
              <w:rPr>
                <w:rFonts w:ascii="宋体" w:hAnsi="宋体"/>
                <w:sz w:val="24"/>
                <w:szCs w:val="24"/>
              </w:rPr>
            </w:pPr>
            <w:r>
              <w:rPr>
                <w:rFonts w:hint="eastAsia" w:ascii="宋体" w:hAnsi="宋体"/>
                <w:sz w:val="24"/>
                <w:szCs w:val="24"/>
              </w:rPr>
              <w:t>1、为员工提供工作服、劳动保护用品；</w:t>
            </w:r>
          </w:p>
          <w:p>
            <w:pPr>
              <w:spacing w:line="360" w:lineRule="auto"/>
              <w:rPr>
                <w:rFonts w:ascii="宋体" w:hAnsi="宋体"/>
                <w:sz w:val="24"/>
                <w:szCs w:val="24"/>
              </w:rPr>
            </w:pPr>
            <w:r>
              <w:rPr>
                <w:rFonts w:hint="eastAsia" w:ascii="宋体" w:hAnsi="宋体"/>
                <w:sz w:val="24"/>
                <w:szCs w:val="24"/>
              </w:rPr>
              <w:t>2、每年为员工免费做健康检查；</w:t>
            </w:r>
          </w:p>
        </w:tc>
      </w:tr>
    </w:tbl>
    <w:p>
      <w:pPr>
        <w:rPr>
          <w:rFonts w:ascii="宋体" w:hAnsi="宋体"/>
          <w:b/>
          <w:sz w:val="24"/>
          <w:szCs w:val="24"/>
        </w:rPr>
      </w:pPr>
    </w:p>
    <w:p>
      <w:pPr>
        <w:rPr>
          <w:rFonts w:ascii="宋体" w:hAnsi="宋体"/>
          <w:b/>
          <w:sz w:val="24"/>
          <w:szCs w:val="24"/>
        </w:rPr>
      </w:pPr>
    </w:p>
    <w:p>
      <w:pPr>
        <w:rPr>
          <w:rFonts w:ascii="宋体" w:hAnsi="宋体"/>
          <w:b/>
          <w:sz w:val="24"/>
          <w:szCs w:val="24"/>
        </w:rPr>
      </w:pPr>
    </w:p>
    <w:p>
      <w:pPr>
        <w:rPr>
          <w:rFonts w:ascii="宋体" w:hAnsi="宋体"/>
          <w:b/>
          <w:sz w:val="24"/>
          <w:szCs w:val="24"/>
        </w:rPr>
      </w:pPr>
    </w:p>
    <w:p>
      <w:pPr>
        <w:rPr>
          <w:rFonts w:ascii="宋体" w:hAnsi="宋体"/>
          <w:b/>
          <w:sz w:val="24"/>
          <w:szCs w:val="24"/>
        </w:rPr>
      </w:pPr>
    </w:p>
    <w:p>
      <w:pPr>
        <w:rPr>
          <w:rFonts w:ascii="宋体" w:hAnsi="宋体"/>
          <w:b/>
          <w:sz w:val="24"/>
          <w:szCs w:val="24"/>
        </w:rPr>
      </w:pPr>
    </w:p>
    <w:p>
      <w:pPr>
        <w:rPr>
          <w:rFonts w:ascii="宋体" w:hAnsi="宋体"/>
          <w:b/>
          <w:sz w:val="24"/>
          <w:szCs w:val="24"/>
        </w:rPr>
      </w:pPr>
    </w:p>
    <w:p>
      <w:pPr>
        <w:rPr>
          <w:rFonts w:ascii="宋体" w:hAnsi="宋体"/>
          <w:b/>
          <w:sz w:val="24"/>
          <w:szCs w:val="24"/>
        </w:rPr>
      </w:pPr>
    </w:p>
    <w:p>
      <w:pPr>
        <w:rPr>
          <w:rFonts w:ascii="宋体" w:hAnsi="宋体"/>
          <w:b/>
          <w:sz w:val="24"/>
          <w:szCs w:val="24"/>
        </w:rPr>
      </w:pPr>
    </w:p>
    <w:p>
      <w:pPr>
        <w:rPr>
          <w:rFonts w:ascii="宋体" w:hAnsi="宋体"/>
          <w:b/>
          <w:sz w:val="24"/>
          <w:szCs w:val="24"/>
        </w:rPr>
      </w:pPr>
    </w:p>
    <w:p>
      <w:pPr>
        <w:rPr>
          <w:rFonts w:ascii="宋体" w:hAnsi="宋体"/>
          <w:b/>
          <w:sz w:val="24"/>
          <w:szCs w:val="24"/>
        </w:rPr>
      </w:pPr>
    </w:p>
    <w:p>
      <w:pPr>
        <w:rPr>
          <w:rFonts w:ascii="宋体" w:hAnsi="宋体"/>
          <w:b/>
          <w:sz w:val="24"/>
          <w:szCs w:val="24"/>
        </w:rPr>
      </w:pPr>
    </w:p>
    <w:p>
      <w:pPr>
        <w:rPr>
          <w:rFonts w:ascii="宋体" w:hAnsi="宋体"/>
          <w:b/>
          <w:sz w:val="24"/>
          <w:szCs w:val="24"/>
        </w:rPr>
      </w:pPr>
    </w:p>
    <w:p>
      <w:pPr>
        <w:rPr>
          <w:rFonts w:ascii="宋体" w:hAnsi="宋体"/>
          <w:b/>
          <w:sz w:val="24"/>
          <w:szCs w:val="24"/>
        </w:rPr>
      </w:pPr>
      <w:bookmarkStart w:id="0" w:name="_GoBack"/>
      <w:bookmarkEnd w:id="0"/>
    </w:p>
    <w:p>
      <w:pPr>
        <w:rPr>
          <w:rFonts w:ascii="华文楷体" w:hAnsi="华文楷体" w:eastAsia="华文楷体"/>
          <w:b/>
          <w:sz w:val="36"/>
          <w:szCs w:val="36"/>
        </w:rPr>
      </w:pPr>
      <w:r>
        <w:rPr>
          <w:rFonts w:hint="eastAsia" w:ascii="华文楷体" w:hAnsi="华文楷体" w:eastAsia="华文楷体"/>
          <w:b/>
          <w:sz w:val="36"/>
          <w:szCs w:val="36"/>
        </w:rPr>
        <w:t>东胜化学（上海）有限公司</w:t>
      </w:r>
    </w:p>
    <w:p>
      <w:pPr>
        <w:spacing w:line="360" w:lineRule="exact"/>
        <w:rPr>
          <w:rFonts w:ascii="华文楷体" w:hAnsi="华文楷体" w:eastAsia="华文楷体"/>
          <w:sz w:val="28"/>
          <w:szCs w:val="28"/>
        </w:rPr>
      </w:pPr>
      <w:r>
        <w:rPr>
          <w:rFonts w:hint="eastAsia" w:ascii="华文楷体" w:hAnsi="华文楷体" w:eastAsia="华文楷体"/>
          <w:sz w:val="28"/>
          <w:szCs w:val="28"/>
        </w:rPr>
        <w:t>公司网址：www.dongshengchemical.com</w:t>
      </w:r>
    </w:p>
    <w:p>
      <w:pPr>
        <w:spacing w:line="360" w:lineRule="exact"/>
        <w:rPr>
          <w:rFonts w:hint="eastAsia" w:ascii="华文楷体" w:hAnsi="华文楷体" w:eastAsia="华文楷体"/>
          <w:sz w:val="28"/>
          <w:szCs w:val="28"/>
          <w:lang w:val="en-US" w:eastAsia="zh-CN"/>
        </w:rPr>
      </w:pPr>
      <w:r>
        <w:rPr>
          <w:rFonts w:hint="eastAsia" w:ascii="华文楷体" w:hAnsi="华文楷体" w:eastAsia="华文楷体"/>
          <w:sz w:val="28"/>
          <w:szCs w:val="28"/>
        </w:rPr>
        <w:t>联系电话：</w:t>
      </w:r>
      <w:r>
        <w:rPr>
          <w:rFonts w:hint="eastAsia" w:ascii="华文楷体" w:hAnsi="华文楷体" w:eastAsia="华文楷体"/>
          <w:sz w:val="28"/>
          <w:szCs w:val="28"/>
          <w:lang w:val="en-US" w:eastAsia="zh-CN"/>
        </w:rPr>
        <w:t>0512—53206792</w:t>
      </w:r>
    </w:p>
    <w:p>
      <w:pPr>
        <w:spacing w:line="360" w:lineRule="exact"/>
        <w:rPr>
          <w:rFonts w:hint="eastAsia" w:ascii="华文楷体" w:hAnsi="华文楷体" w:eastAsia="华文楷体"/>
          <w:sz w:val="28"/>
          <w:szCs w:val="28"/>
          <w:lang w:val="en-US" w:eastAsia="zh-CN"/>
        </w:rPr>
      </w:pPr>
      <w:r>
        <w:rPr>
          <w:rFonts w:hint="eastAsia" w:ascii="华文楷体" w:hAnsi="华文楷体" w:eastAsia="华文楷体"/>
          <w:sz w:val="28"/>
          <w:szCs w:val="28"/>
          <w:lang w:val="en-US" w:eastAsia="zh-CN"/>
        </w:rPr>
        <w:t>联系人：李沛红</w:t>
      </w:r>
    </w:p>
    <w:p>
      <w:pPr>
        <w:spacing w:line="360" w:lineRule="exact"/>
        <w:rPr>
          <w:rFonts w:ascii="华文楷体" w:hAnsi="华文楷体" w:eastAsia="华文楷体"/>
          <w:sz w:val="28"/>
          <w:szCs w:val="28"/>
        </w:rPr>
      </w:pPr>
      <w:r>
        <w:rPr>
          <w:rFonts w:hint="eastAsia" w:ascii="华文楷体" w:hAnsi="华文楷体" w:eastAsia="华文楷体"/>
          <w:sz w:val="28"/>
          <w:szCs w:val="28"/>
        </w:rPr>
        <w:t>公司</w:t>
      </w:r>
      <w:r>
        <w:rPr>
          <w:rFonts w:ascii="华文楷体" w:hAnsi="华文楷体" w:eastAsia="华文楷体"/>
          <w:sz w:val="28"/>
          <w:szCs w:val="28"/>
        </w:rPr>
        <w:t>地址：</w:t>
      </w:r>
      <w:r>
        <w:rPr>
          <w:rFonts w:hint="eastAsia" w:ascii="华文楷体" w:hAnsi="华文楷体" w:eastAsia="华文楷体"/>
          <w:sz w:val="28"/>
          <w:szCs w:val="28"/>
        </w:rPr>
        <w:t>上海市奉贤区苍工路1728号</w:t>
      </w:r>
    </w:p>
    <w:p>
      <w:pPr>
        <w:spacing w:line="360" w:lineRule="exact"/>
        <w:rPr>
          <w:rFonts w:ascii="华文楷体" w:hAnsi="华文楷体" w:eastAsia="华文楷体"/>
          <w:sz w:val="28"/>
          <w:szCs w:val="28"/>
        </w:rPr>
      </w:pPr>
    </w:p>
    <w:sectPr>
      <w:headerReference r:id="rId4" w:type="default"/>
      <w:footerReference r:id="rId5" w:type="default"/>
      <w:pgSz w:w="11906" w:h="16838"/>
      <w:pgMar w:top="1134" w:right="850" w:bottom="567" w:left="850" w:header="680" w:footer="454"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华文楷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
    <w:altName w:val="仿宋_GB2312"/>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A00002EF" w:usb1="4000004B" w:usb2="00000000" w:usb3="00000000" w:csb0="200000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jc w:val="right"/>
      <w:rPr>
        <w:rFonts w:ascii="Times New Roman" w:hAnsi="Times New Roman"/>
        <w:sz w:val="21"/>
        <w:szCs w:val="21"/>
      </w:rPr>
    </w:pPr>
    <w:r>
      <w:rPr>
        <w:rFonts w:ascii="Times New Roman" w:hAnsi="Times New Roman"/>
        <w:sz w:val="21"/>
        <w:szCs w:val="21"/>
      </w:rPr>
      <w:t>www.dongshengchemical.com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both"/>
    </w:pPr>
    <w:r>
      <w:rPr>
        <w:rFonts w:ascii="Calibri" w:hAnsi="Calibri" w:eastAsia="宋体" w:cs="Times New Roman"/>
        <w:kern w:val="2"/>
        <w:sz w:val="18"/>
        <w:szCs w:val="18"/>
        <w:lang w:val="en-US" w:eastAsia="zh-CN" w:bidi="ar-SA"/>
      </w:rPr>
      <w:pict>
        <v:rect id="文本框 2" o:spid="_x0000_s1025" style="position:absolute;left:0;margin-left:60.2pt;margin-top:-4.55pt;height:31.5pt;width:451.15pt;rotation:0f;z-index:251658240;" o:ole="f" fillcolor="#FFFFFF" filled="f" o:preferrelative="t" stroked="f" coordsize="21600,21600">
          <v:fill on="f" color2="#FFFFFF" focus="0%"/>
          <v:imagedata gain="65536f" blacklevel="0f" gamma="0"/>
          <o:lock v:ext="edit" position="f" selection="f" grouping="f" rotation="f" cropping="f" text="f" aspectratio="f"/>
          <v:textbox>
            <w:txbxContent>
              <w:p>
                <w:pPr>
                  <w:ind w:firstLine="4144" w:firstLineChars="1150"/>
                  <w:rPr>
                    <w:rFonts w:ascii="华文楷体" w:hAnsi="华文楷体" w:eastAsia="华文楷体"/>
                    <w:b/>
                    <w:sz w:val="36"/>
                    <w:szCs w:val="36"/>
                  </w:rPr>
                </w:pPr>
                <w:r>
                  <w:rPr>
                    <w:rFonts w:hint="eastAsia" w:ascii="华文楷体" w:hAnsi="华文楷体" w:eastAsia="华文楷体"/>
                    <w:b/>
                    <w:sz w:val="36"/>
                    <w:szCs w:val="36"/>
                  </w:rPr>
                  <w:t xml:space="preserve">  东胜化学（上海）有限公司</w:t>
                </w:r>
              </w:p>
            </w:txbxContent>
          </v:textbox>
        </v:rect>
      </w:pict>
    </w:r>
    <w:r>
      <w:rPr>
        <w:rFonts w:ascii="Calibri" w:hAnsi="Calibri" w:eastAsia="宋体" w:cs="Times New Roman"/>
        <w:kern w:val="2"/>
        <w:sz w:val="18"/>
        <w:szCs w:val="18"/>
        <w:lang w:val="en-US" w:eastAsia="zh-CN" w:bidi="ar-SA"/>
      </w:rPr>
      <w:pict>
        <v:shape id="图片框 1026" o:spid="_x0000_s1026" type="#_x0000_t75" style="height:22.5pt;width:51pt;rotation:0f;" o:ole="f" fillcolor="#FFFFFF" filled="f" o:preferrelative="t" stroked="f" coordorigin="0,0" coordsize="21600,21600">
          <v:fill on="f" color2="#FFFFFF" focus="0%"/>
          <v:imagedata gain="65536f" blacklevel="0f" gamma="0" o:title="" r:id="rId1"/>
          <o:lock v:ext="edit" position="f" selection="f" grouping="f" rotation="f" cropping="f" text="f" aspectratio="t"/>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tyle>
  <w:style w:type="paragraph" w:styleId="2">
    <w:name w:val="footer"/>
    <w:basedOn w:val="1"/>
    <w:link w:val="3"/>
    <w:pPr>
      <w:tabs>
        <w:tab w:val="center" w:pos="4153"/>
        <w:tab w:val="right" w:pos="8306"/>
      </w:tabs>
      <w:snapToGrid w:val="0"/>
      <w:jc w:val="left"/>
    </w:pPr>
    <w:rPr>
      <w:sz w:val="18"/>
      <w:szCs w:val="18"/>
    </w:rPr>
  </w:style>
  <w:style w:type="character" w:customStyle="1" w:styleId="3">
    <w:name w:val="页脚 Char"/>
    <w:link w:val="2"/>
    <w:semiHidden/>
    <w:rPr>
      <w:sz w:val="18"/>
      <w:szCs w:val="18"/>
    </w:rPr>
  </w:style>
  <w:style w:type="paragraph" w:styleId="4">
    <w:name w:val="header"/>
    <w:basedOn w:val="1"/>
    <w:link w:val="5"/>
    <w:pPr>
      <w:pBdr>
        <w:bottom w:val="single" w:color="auto" w:sz="6" w:space="1"/>
      </w:pBdr>
      <w:tabs>
        <w:tab w:val="center" w:pos="4153"/>
        <w:tab w:val="right" w:pos="8306"/>
      </w:tabs>
      <w:snapToGrid w:val="0"/>
      <w:jc w:val="center"/>
    </w:pPr>
    <w:rPr>
      <w:sz w:val="18"/>
      <w:szCs w:val="18"/>
    </w:rPr>
  </w:style>
  <w:style w:type="character" w:customStyle="1" w:styleId="5">
    <w:name w:val="页眉 Char"/>
    <w:link w:val="4"/>
    <w:semiHidden/>
    <w:rPr>
      <w:sz w:val="18"/>
      <w:szCs w:val="18"/>
    </w:rPr>
  </w:style>
  <w:style w:type="character" w:styleId="7">
    <w:name w:val="Hyperlink"/>
    <w:rPr>
      <w:color w:val="0000FF"/>
      <w:u w:val="single"/>
    </w:rPr>
  </w:style>
  <w:style w:type="paragraph" w:customStyle="1" w:styleId="8">
    <w:name w:val="批注框文本 Char Char"/>
    <w:basedOn w:val="1"/>
    <w:link w:val="11"/>
    <w:rPr>
      <w:sz w:val="18"/>
      <w:szCs w:val="18"/>
    </w:rPr>
  </w:style>
  <w:style w:type="paragraph" w:customStyle="1" w:styleId="9">
    <w:name w:val="默认段落字体 Para Char Char Char Char"/>
    <w:basedOn w:val="1"/>
  </w:style>
  <w:style w:type="paragraph" w:customStyle="1" w:styleId="10">
    <w:name w:val="列出段落1"/>
    <w:basedOn w:val="1"/>
    <w:pPr>
      <w:ind w:firstLine="420" w:firstLineChars="200"/>
    </w:pPr>
  </w:style>
  <w:style w:type="character" w:customStyle="1" w:styleId="11">
    <w:name w:val="批注框文本 Char Char Char Char"/>
    <w:link w:val="8"/>
    <w:semiHidden/>
    <w:rPr>
      <w:sz w:val="18"/>
      <w:szCs w:val="18"/>
    </w:rPr>
  </w:style>
  <w:style w:type="character" w:customStyle="1" w:styleId="12">
    <w:name w:val="page number"/>
    <w:basedOn w:val="6"/>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227</Words>
  <Characters>1299</Characters>
  <Lines>10</Lines>
  <Paragraphs>3</Paragraphs>
  <ScaleCrop>false</ScaleCrop>
  <LinksUpToDate>false</LinksUpToDate>
  <CharactersWithSpaces>0</CharactersWithSpaces>
  <Application>WPS Office 个人版_9.1.0.4249</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2013-10-08T04:09:00Z</dcterms:created>
  <dc:creator>Joy</dc:creator>
  <cp:lastModifiedBy>Administrator</cp:lastModifiedBy>
  <dcterms:modified xsi:type="dcterms:W3CDTF">2013-10-22T01:59:45Z</dcterms:modified>
  <dc:title> 人力资源部 《部门职责说明书》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2052-9.1.0.4249</vt:lpwstr>
  </property>
</Properties>
</file>